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South African Leave Policy</w:t>
        <w:br/>
        <w:t>Starter Template</w:t>
      </w:r>
    </w:p>
    <w:p>
      <w:r>
        <w:t>LeaveCtrl — Leave &amp; Workforce Availability</w:t>
      </w:r>
    </w:p>
    <w:p>
      <w:r>
        <w:t>Customisable starting template — not legal advice, a completed PAIA manual, or a guarantee of compliance. Complete every bracketed field and obtain appropriate review before adoption. Source snapshot: 6 October 2026.</w:t>
      </w:r>
    </w:p>
    <w:p>
      <w:pPr>
        <w:pStyle w:val="Heading1"/>
      </w:pPr>
      <w:r>
        <w:t>1. Policy control</w:t>
      </w:r>
    </w:p>
    <w:p>
      <w:r>
        <w:t>Organisation: [Legal name]</w:t>
      </w:r>
    </w:p>
    <w:p>
      <w:r>
        <w:t>Policy owner: [Name / role]</w:t>
      </w:r>
    </w:p>
    <w:p>
      <w:r>
        <w:t>Version: [Version]</w:t>
      </w:r>
    </w:p>
    <w:p>
      <w:r>
        <w:t>Approval date: [Date]</w:t>
      </w:r>
    </w:p>
    <w:p>
      <w:r>
        <w:t>Effective date: [Date]</w:t>
      </w:r>
    </w:p>
    <w:p>
      <w:r>
        <w:t>Last legal review: [Date]</w:t>
      </w:r>
    </w:p>
    <w:p>
      <w:r>
        <w:t>Next review: [Date]</w:t>
      </w:r>
    </w:p>
    <w:p>
      <w:r>
        <w:t>Approved by: [Authorised decision-maker]</w:t>
      </w:r>
    </w:p>
    <w:p>
      <w:pPr>
        <w:pStyle w:val="Heading1"/>
      </w:pPr>
      <w:r>
        <w:t>2. Purpose and scope</w:t>
      </w:r>
    </w:p>
    <w:p>
      <w:r>
        <w:t>This policy sets out how [Organisation] administers leave and considers its timing. It applies to [employee categories / locations]. Identify applicable bargaining-council rules, collective agreements and employment terms here: [Details]. Verify which statutory provisions apply to each category before adoption.</w:t>
      </w:r>
    </w:p>
    <w:p>
      <w:pPr>
        <w:pStyle w:val="Heading1"/>
      </w:pPr>
      <w:r>
        <w:t>3. Leave types and entitlement schedule</w:t>
      </w:r>
    </w:p>
    <w:p>
      <w:r>
        <w:t>Complete a schedule for each employee group and leave type: [Type] | [Statutory minimum / company benefit] | [Entitlement] | [Cycle] | [Calculation method] | [Payment position] | [Evidence / approval]. Identify annual, sick, family responsibility, parental, unpaid, study and additional company leave separately. More favourable benefits must be recorded accurately.</w:t>
      </w:r>
    </w:p>
    <w:p>
      <w:pPr>
        <w:pStyle w:val="Heading1"/>
      </w:pPr>
      <w:r>
        <w:t>4. Annual leave</w:t>
      </w:r>
    </w:p>
    <w:p>
      <w:r>
        <w:t>Annual allocation for each working pattern: [Details]. Statutory annual leave is at least 21 consecutive days per cycle, or the applicable agreed 1-in-17 days/hours method. Do not apply 15 working days universally. Cycle basis: [Details]. Accrual / allocation convention: [Details]. Leave is scheduled by agreement; where no agreement exists, the employer determines timing, subject to the obligation to grant statutory leave within the applicable period. Record public-holiday treatment and notice-period restrictions after review.</w:t>
      </w:r>
    </w:p>
    <w:p>
      <w:pPr>
        <w:pStyle w:val="Heading1"/>
      </w:pPr>
      <w:r>
        <w:t>5. Balances, carry-over and termination</w:t>
      </w:r>
    </w:p>
    <w:p>
      <w:r>
        <w:t>Displayed balance means: [Accrued unused / approved future commitments / uncommitted]. Explain future entitlement separately. Verified opening balances: [Process]. Distinguish statutory and additional contractual leave. Carry-over / forfeiture provisions: [Reviewed provisions; do not assume all leave automatically expires]. Termination calculations: [Reviewed procedure / payroll owner].</w:t>
      </w:r>
    </w:p>
    <w:p>
      <w:pPr>
        <w:pStyle w:val="Heading1"/>
      </w:pPr>
      <w:r>
        <w:t>6. Requests and decisions</w:t>
      </w:r>
    </w:p>
    <w:p>
      <w:r>
        <w:t>Requests are submitted through [Channel] with [Normal notice expectation]. Decisions are made by [Role] within [Organisation's chosen process]. Managers consider entitlement, applicable policy, existing approved leave, pending requests, critical skills and staffing needs. Decisions and reasons are communicated through [Channel]. Alternative dates and escalation: [Procedure]. Operational requirements must not deprive employees indefinitely of statutory leave.</w:t>
      </w:r>
    </w:p>
    <w:p>
      <w:pPr>
        <w:pStyle w:val="Heading1"/>
      </w:pPr>
      <w:r>
        <w:t>7. Sick leave</w:t>
      </w:r>
    </w:p>
    <w:p>
      <w:r>
        <w:t>Specify the 36-month cycle and the entitlement based on six normal working weeks. During the first six months, one paid sick-leave day accrues per 26 days actually worked. Notification procedure: [Details]. Evidence requests must reflect BCEA section 23, including more than two consecutive days or more than two occasions in eight weeks. Certificate access: [Authorised roles]. Do not routinely require unnecessary diagnosis details. Address occupational injury / disability / accommodation through the relevant separate process.</w:t>
      </w:r>
    </w:p>
    <w:p>
      <w:pPr>
        <w:pStyle w:val="Heading1"/>
      </w:pPr>
      <w:r>
        <w:t>8. Family responsibility leave</w:t>
      </w:r>
    </w:p>
    <w:p>
      <w:r>
        <w:t>Verify eligibility and the circumstances covered by BCEA section 27. Qualifying employees generally receive three paid days per annual cycle. Do not retain birth-related wording from old family responsibility templates: the 2018 amendment's relevant provisions commenced on 1 January 2020. Notification and reasonable evidence procedure: [Details].</w:t>
      </w:r>
    </w:p>
    <w:p>
      <w:pPr>
        <w:pStyle w:val="Heading1"/>
      </w:pPr>
      <w:r>
        <w:t>9. Parental leave</w:t>
      </w:r>
    </w:p>
    <w:p>
      <w:r>
        <w:t>Obtain review against the operative Van Wyk [2025] ZACC 20 order and subsequent law before adoption. Under the interim order, a single or sole employed parent has at least four consecutive months; two employed parents share four months and ten days, subject to the order's protections, allocation and timing provisions. Confirm biological, adoption and commissioning-parent treatment. Leave entitlement and UIF benefits are separate questions. Company-paid benefit: [If any]. Supporting notice / allocation process: [Reviewed procedure]. Do not treat the 2026 draft amendments or forecast 2028 horizon as enacted commencement dates.</w:t>
      </w:r>
    </w:p>
    <w:p>
      <w:pPr>
        <w:pStyle w:val="Heading1"/>
      </w:pPr>
      <w:r>
        <w:t>10. Coverage and peak periods</w:t>
      </w:r>
    </w:p>
    <w:p>
      <w:r>
        <w:t>Critical functions: [List]. Minimum staffing / skills: [Details]. Peak-period request dates: [Dates]. Criteria for competing requests: [Transparent criteria, rotation / history where appropriate]. Pending requests remain distinct from approved absence. Coverage warnings support managerial judgment; they do not automatically reject leave. December–January planning and shutdown arrangements: [Reviewed details].</w:t>
      </w:r>
    </w:p>
    <w:p>
      <w:pPr>
        <w:pStyle w:val="Heading1"/>
      </w:pPr>
      <w:r>
        <w:t>11. Corrections, cancellations and adjustments</w:t>
      </w:r>
    </w:p>
    <w:p>
      <w:r>
        <w:t>Employees request corrections through [Channel]. Authorised adjustment roles: [Roles]. Every adjustment records the reason, date, actor and balance impact. Cancellation / date-change procedure: [Details]. Changes in work pattern: [Process]. Preserve the history of earlier effective rules rather than silently rewriting it.</w:t>
      </w:r>
    </w:p>
    <w:p>
      <w:pPr>
        <w:pStyle w:val="Heading1"/>
      </w:pPr>
      <w:r>
        <w:t>12. Personal information and documents</w:t>
      </w:r>
    </w:p>
    <w:p>
      <w:r>
        <w:t>Access permissions: [Roles and scope]. Required supporting information: [Categories / justification]. Storage and service providers: [Verified arrangements]. Retention periods / criteria: [Approved schedule]. Deletion and incident reporting: [Procedure]. Medical documents are handled confidentially with access limited to authorised roles. Do not copy unverified security or compliance guarantees into this policy.</w:t>
      </w:r>
    </w:p>
    <w:p>
      <w:pPr>
        <w:pStyle w:val="Heading1"/>
      </w:pPr>
      <w:r>
        <w:t>13. Records and audit history</w:t>
      </w:r>
    </w:p>
    <w:p>
      <w:r>
        <w:t>Maintain the request, decision, supporting evidence where appropriate, adjustment reason and balance impact. Record policy/rule version and effective date. Reconciliation owner and frequency: [Details]. Export / payroll reconciliation process: [Details].</w:t>
      </w:r>
    </w:p>
    <w:p>
      <w:pPr>
        <w:pStyle w:val="Heading1"/>
      </w:pPr>
      <w:r>
        <w:t>14. Communication, review and acknowledgement</w:t>
      </w:r>
    </w:p>
    <w:p>
      <w:r>
        <w:t>Publish the approved policy through [Channel]. Train employees and managers. Review after material legal or organisational changes, especially parental-leave developments. Employee acknowledgement process: [Details]. Escalation contact: [Name / role / monitored email]. This starter is not adopted until all choices are completed, reviewed and approved.</w:t>
      </w:r>
    </w:p>
    <w:p>
      <w:pPr>
        <w:pStyle w:val="Heading1"/>
      </w:pPr>
      <w:r>
        <w:t>Primary sources and review</w:t>
      </w:r>
    </w:p>
    <w:p>
      <w:r>
        <w:t>Sources: https://www.gov.za/documents/basic-conditions-employment-act</w:t>
        <w:br/>
        <w:t>https://www.gov.za/documents/acts/labour-laws-amendment-act-10-2018-english-afrikaans-27-nov-2018</w:t>
        <w:br/>
        <w:t>https://www.concourt.org.za/index.php/judgement/617-a-werner-van-wyk-and-others-v-minister-of-employment-and-labour-b-commission-for-gender-equality-and-another-v-minister-of-employment-and-labour-and-others</w:t>
        <w:br/>
        <w:t>Read legislation with amendments and the operative court order.</w:t>
      </w:r>
    </w:p>
    <w:sectPr w:rsidR="00FC693F" w:rsidRPr="0006063C" w:rsidSect="00034616">
      <w:footerReference w:type="default" r:id="rId9"/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LeaveCtrl · Customisable starter · Review before adoption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2C3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42C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